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F5062" w14:textId="77777777" w:rsidR="0064556D" w:rsidRDefault="00000000">
      <w:pPr>
        <w:pStyle w:val="BodyText"/>
        <w:spacing w:before="79"/>
        <w:ind w:left="120"/>
      </w:pPr>
      <w:r>
        <w:rPr>
          <w:u w:val="single"/>
        </w:rPr>
        <w:t>OUTSIDE PROFESSIONAL ACTIVITIES FOR KENNETH ROGOFF</w:t>
      </w:r>
    </w:p>
    <w:p w14:paraId="6ADB9C10" w14:textId="77777777" w:rsidR="0064556D" w:rsidRDefault="00000000">
      <w:pPr>
        <w:pStyle w:val="BodyText"/>
        <w:spacing w:before="103"/>
        <w:ind w:left="120" w:right="289"/>
      </w:pPr>
      <w:r>
        <w:rPr>
          <w:color w:val="333333"/>
        </w:rPr>
        <w:t>In addition to academic research lectures at universities, Professor Rogoff also gives</w:t>
      </w:r>
      <w:r>
        <w:rPr>
          <w:color w:val="333333"/>
          <w:spacing w:val="-27"/>
        </w:rPr>
        <w:t xml:space="preserve"> </w:t>
      </w:r>
      <w:r>
        <w:rPr>
          <w:color w:val="333333"/>
        </w:rPr>
        <w:t>talks to a wide variety of conferences worldwide, including at central banks, finance ministries, government and non-government associations, financial institutions, energy groups, and major companies. He also receives royalties from books, and honoraria for writing op-eds in newspapers.</w:t>
      </w:r>
    </w:p>
    <w:p w14:paraId="05FEF133" w14:textId="77777777" w:rsidR="0064556D" w:rsidRDefault="0064556D">
      <w:pPr>
        <w:pStyle w:val="BodyText"/>
      </w:pPr>
    </w:p>
    <w:p w14:paraId="2077EDD9" w14:textId="77777777" w:rsidR="0064556D" w:rsidRDefault="00000000">
      <w:pPr>
        <w:pStyle w:val="BodyText"/>
        <w:ind w:left="120"/>
      </w:pPr>
      <w:r>
        <w:rPr>
          <w:color w:val="333333"/>
        </w:rPr>
        <w:t>Listed below are organizations from which Professor Rogoff received compensation of at least $500:</w:t>
      </w:r>
    </w:p>
    <w:p w14:paraId="33EC59C7" w14:textId="77777777" w:rsidR="0064556D" w:rsidRDefault="0064556D">
      <w:pPr>
        <w:pStyle w:val="BodyText"/>
        <w:rPr>
          <w:sz w:val="26"/>
        </w:rPr>
      </w:pPr>
    </w:p>
    <w:p w14:paraId="0D3CE6C3" w14:textId="77777777" w:rsidR="0064556D" w:rsidRDefault="0064556D">
      <w:pPr>
        <w:pStyle w:val="BodyText"/>
        <w:rPr>
          <w:sz w:val="22"/>
        </w:rPr>
      </w:pPr>
    </w:p>
    <w:p w14:paraId="746D748B" w14:textId="77777777" w:rsidR="0064556D" w:rsidRDefault="00000000" w:rsidP="001F4076">
      <w:pPr>
        <w:pStyle w:val="BodyText"/>
        <w:ind w:left="120"/>
      </w:pPr>
      <w:r>
        <w:t>Speaking (2022)</w:t>
      </w:r>
    </w:p>
    <w:p w14:paraId="261CF10F" w14:textId="77777777" w:rsidR="0064556D" w:rsidRPr="001F4076" w:rsidRDefault="0064556D" w:rsidP="001F4076">
      <w:pPr>
        <w:pStyle w:val="BodyText"/>
        <w:ind w:left="120"/>
      </w:pPr>
    </w:p>
    <w:p w14:paraId="3F5889F7" w14:textId="494C2354" w:rsidR="0064556D" w:rsidRDefault="00000000">
      <w:pPr>
        <w:pStyle w:val="BodyText"/>
        <w:ind w:left="120"/>
      </w:pPr>
      <w:r>
        <w:t>Army Strategic Education Program</w:t>
      </w:r>
      <w:r w:rsidR="001F4076">
        <w:t xml:space="preserve">, </w:t>
      </w:r>
      <w:r w:rsidR="001F4076" w:rsidRPr="001F4076">
        <w:t xml:space="preserve">Circle, Federal Reserve Bank of </w:t>
      </w:r>
      <w:proofErr w:type="gramStart"/>
      <w:r w:rsidR="001F4076" w:rsidRPr="001F4076">
        <w:t>Atlanta</w:t>
      </w:r>
      <w:proofErr w:type="gramEnd"/>
      <w:r w:rsidR="001F4076" w:rsidRPr="001F4076">
        <w:t xml:space="preserve"> and Bank of Japan</w:t>
      </w:r>
    </w:p>
    <w:p w14:paraId="42B1A771" w14:textId="77777777" w:rsidR="0064556D" w:rsidRPr="001F4076" w:rsidRDefault="0064556D" w:rsidP="001F4076">
      <w:pPr>
        <w:pStyle w:val="BodyText"/>
        <w:ind w:left="120"/>
      </w:pPr>
    </w:p>
    <w:p w14:paraId="3471644E" w14:textId="77777777" w:rsidR="0064556D" w:rsidRDefault="0064556D">
      <w:pPr>
        <w:pStyle w:val="BodyText"/>
        <w:spacing w:before="1"/>
        <w:rPr>
          <w:sz w:val="22"/>
        </w:rPr>
      </w:pPr>
    </w:p>
    <w:p w14:paraId="7D21DE65" w14:textId="77777777" w:rsidR="0064556D" w:rsidRDefault="00000000">
      <w:pPr>
        <w:pStyle w:val="BodyText"/>
        <w:ind w:left="120"/>
      </w:pPr>
      <w:r>
        <w:t>Speaking (2021)</w:t>
      </w:r>
    </w:p>
    <w:p w14:paraId="175DD5A2" w14:textId="77777777" w:rsidR="0064556D" w:rsidRDefault="0064556D">
      <w:pPr>
        <w:pStyle w:val="BodyText"/>
      </w:pPr>
    </w:p>
    <w:p w14:paraId="05D974F5" w14:textId="77777777" w:rsidR="0064556D" w:rsidRDefault="00000000">
      <w:pPr>
        <w:pStyle w:val="BodyText"/>
        <w:spacing w:line="249" w:lineRule="auto"/>
        <w:ind w:left="118" w:right="104" w:firstLine="2"/>
      </w:pPr>
      <w:r>
        <w:t xml:space="preserve">Bank </w:t>
      </w:r>
      <w:proofErr w:type="spellStart"/>
      <w:r>
        <w:t>Mandiri</w:t>
      </w:r>
      <w:proofErr w:type="spellEnd"/>
      <w:r>
        <w:t xml:space="preserve">, China Development Research Council, S&amp;P Global, Brevan Howard Research, European Fiscal Board, </w:t>
      </w:r>
      <w:proofErr w:type="spellStart"/>
      <w:r>
        <w:t>Dankse</w:t>
      </w:r>
      <w:proofErr w:type="spellEnd"/>
      <w:r>
        <w:t xml:space="preserve"> Bank, Banco Bradesco, Central Banking, </w:t>
      </w:r>
      <w:proofErr w:type="spellStart"/>
      <w:r>
        <w:t>Sagard</w:t>
      </w:r>
      <w:proofErr w:type="spellEnd"/>
      <w:r>
        <w:t xml:space="preserve"> Credit Partners, and Lupus Alpha</w:t>
      </w:r>
    </w:p>
    <w:p w14:paraId="02688AF6" w14:textId="77777777" w:rsidR="0064556D" w:rsidRDefault="0064556D">
      <w:pPr>
        <w:pStyle w:val="BodyText"/>
        <w:spacing w:before="2"/>
        <w:rPr>
          <w:sz w:val="23"/>
        </w:rPr>
      </w:pPr>
    </w:p>
    <w:p w14:paraId="7FA7BC6E" w14:textId="77777777" w:rsidR="0064556D" w:rsidRDefault="00000000">
      <w:pPr>
        <w:pStyle w:val="BodyText"/>
        <w:ind w:left="120"/>
      </w:pPr>
      <w:r>
        <w:t>Speaking (2020)</w:t>
      </w:r>
    </w:p>
    <w:p w14:paraId="60F4C996" w14:textId="77777777" w:rsidR="0064556D" w:rsidRDefault="0064556D">
      <w:pPr>
        <w:pStyle w:val="BodyText"/>
        <w:spacing w:before="2"/>
      </w:pPr>
    </w:p>
    <w:p w14:paraId="29E6798D" w14:textId="77777777" w:rsidR="0064556D" w:rsidRDefault="00000000">
      <w:pPr>
        <w:pStyle w:val="BodyText"/>
        <w:spacing w:line="235" w:lineRule="auto"/>
        <w:ind w:left="118" w:firstLine="2"/>
      </w:pPr>
      <w:r>
        <w:t xml:space="preserve">Bank of England, Gaidar Institute, B20, </w:t>
      </w:r>
      <w:proofErr w:type="spellStart"/>
      <w:r>
        <w:t>Hollowesko</w:t>
      </w:r>
      <w:proofErr w:type="spellEnd"/>
      <w:r>
        <w:t xml:space="preserve">, The Brookings Institution, BNP, Paribus, Federal Reserve Bank of Kansas City, Bain Capital, </w:t>
      </w:r>
      <w:proofErr w:type="spellStart"/>
      <w:r>
        <w:t>Kommunivest</w:t>
      </w:r>
      <w:proofErr w:type="spellEnd"/>
      <w:r>
        <w:t>, Roland Berger</w:t>
      </w:r>
    </w:p>
    <w:p w14:paraId="09D1EBF2" w14:textId="77777777" w:rsidR="0064556D" w:rsidRDefault="0064556D">
      <w:pPr>
        <w:pStyle w:val="BodyText"/>
        <w:spacing w:before="7"/>
      </w:pPr>
    </w:p>
    <w:p w14:paraId="55554E99" w14:textId="77777777" w:rsidR="0064556D" w:rsidRDefault="00000000">
      <w:pPr>
        <w:pStyle w:val="BodyText"/>
        <w:ind w:left="120"/>
      </w:pPr>
      <w:r>
        <w:t>Speaking (2019)</w:t>
      </w:r>
    </w:p>
    <w:p w14:paraId="44B51973" w14:textId="77777777" w:rsidR="0064556D" w:rsidRDefault="0064556D">
      <w:pPr>
        <w:pStyle w:val="BodyText"/>
        <w:spacing w:before="9"/>
        <w:rPr>
          <w:sz w:val="23"/>
        </w:rPr>
      </w:pPr>
    </w:p>
    <w:p w14:paraId="729E30C2" w14:textId="77777777" w:rsidR="0064556D" w:rsidRDefault="00000000">
      <w:pPr>
        <w:pStyle w:val="BodyText"/>
        <w:ind w:left="120" w:right="101"/>
      </w:pPr>
      <w:r>
        <w:t xml:space="preserve">CNBC18 (India), Astana Economic Forum, Central Bank of Chile, World Gold Council, T. Rowe Price, University of Wisconsin, INCOSAI, </w:t>
      </w:r>
      <w:proofErr w:type="spellStart"/>
      <w:r>
        <w:t>Kommuninvest</w:t>
      </w:r>
      <w:proofErr w:type="spellEnd"/>
      <w:r>
        <w:t xml:space="preserve">, </w:t>
      </w:r>
      <w:proofErr w:type="spellStart"/>
      <w:r>
        <w:t>Norges</w:t>
      </w:r>
      <w:proofErr w:type="spellEnd"/>
      <w:r>
        <w:t xml:space="preserve"> Bank, Corvinus University</w:t>
      </w:r>
    </w:p>
    <w:p w14:paraId="39C17677" w14:textId="77777777" w:rsidR="0064556D" w:rsidRDefault="0064556D">
      <w:pPr>
        <w:pStyle w:val="BodyText"/>
      </w:pPr>
    </w:p>
    <w:p w14:paraId="4DEA93F6" w14:textId="77777777" w:rsidR="0064556D" w:rsidRDefault="00000000">
      <w:pPr>
        <w:pStyle w:val="BodyText"/>
        <w:spacing w:before="1"/>
        <w:ind w:left="120"/>
      </w:pPr>
      <w:r>
        <w:t>Speaking (2014–2018)</w:t>
      </w:r>
    </w:p>
    <w:p w14:paraId="3B3B3150" w14:textId="77777777" w:rsidR="0064556D" w:rsidRDefault="0064556D">
      <w:pPr>
        <w:pStyle w:val="BodyText"/>
        <w:spacing w:before="11"/>
        <w:rPr>
          <w:sz w:val="23"/>
        </w:rPr>
      </w:pPr>
    </w:p>
    <w:p w14:paraId="68DFA7F2" w14:textId="77777777" w:rsidR="0064556D" w:rsidRDefault="00000000">
      <w:pPr>
        <w:pStyle w:val="BodyText"/>
        <w:ind w:left="120" w:right="141"/>
      </w:pPr>
      <w:r>
        <w:t xml:space="preserve">American Industrial Partners, Amundi, </w:t>
      </w:r>
      <w:proofErr w:type="spellStart"/>
      <w:r>
        <w:t>Asobancaria</w:t>
      </w:r>
      <w:proofErr w:type="spellEnd"/>
      <w:r>
        <w:t xml:space="preserve">, Astana Economic Forum, Australian Financial Review, Bank for International Settlements, Bank of Canada: John </w:t>
      </w:r>
      <w:proofErr w:type="spellStart"/>
      <w:r>
        <w:t>Kuszczak</w:t>
      </w:r>
      <w:proofErr w:type="spellEnd"/>
      <w:r>
        <w:t xml:space="preserve"> Memorial Lecture, Banque de France, Baraboo, Brevan Howard </w:t>
      </w:r>
      <w:proofErr w:type="spellStart"/>
      <w:r>
        <w:t>Camacol</w:t>
      </w:r>
      <w:proofErr w:type="spellEnd"/>
      <w:r>
        <w:t xml:space="preserve">, Carlyle, Carte Blanche, CFA Society Montréal (in partnership with Fiera Capital, and the Caisse de </w:t>
      </w:r>
      <w:proofErr w:type="spellStart"/>
      <w:r>
        <w:t>dépôt</w:t>
      </w:r>
      <w:proofErr w:type="spellEnd"/>
      <w:r>
        <w:t xml:space="preserve"> et placement du Québec), Citi, Credit </w:t>
      </w:r>
      <w:proofErr w:type="spellStart"/>
      <w:r>
        <w:t>Suise</w:t>
      </w:r>
      <w:proofErr w:type="spellEnd"/>
      <w:r>
        <w:t xml:space="preserve">, Danish Central Bank, Danske Bank, Deutsche Bank, Dong-A Media Group, Drobny Global Advisors, Economic Club of Kansas City, </w:t>
      </w:r>
      <w:proofErr w:type="spellStart"/>
      <w:r>
        <w:t>EnTrust</w:t>
      </w:r>
      <w:proofErr w:type="spellEnd"/>
      <w:r>
        <w:t xml:space="preserve">, FIM Partners, Fondo </w:t>
      </w:r>
      <w:proofErr w:type="spellStart"/>
      <w:r>
        <w:t>Latinoamerico</w:t>
      </w:r>
      <w:proofErr w:type="spellEnd"/>
      <w:r>
        <w:t xml:space="preserve"> de </w:t>
      </w:r>
      <w:proofErr w:type="spellStart"/>
      <w:r>
        <w:t>Reservas</w:t>
      </w:r>
      <w:proofErr w:type="spellEnd"/>
      <w:r>
        <w:t xml:space="preserve">, </w:t>
      </w:r>
      <w:proofErr w:type="spellStart"/>
      <w:r>
        <w:t>Gávea</w:t>
      </w:r>
      <w:proofErr w:type="spellEnd"/>
      <w:r>
        <w:t xml:space="preserve">, Haverford College, IESE Business School, INSM (Ludwig Erhard Lecture), International Monetary Fund, </w:t>
      </w:r>
      <w:hyperlink r:id="rId4">
        <w:r>
          <w:t>Kazan Federal University,</w:t>
        </w:r>
      </w:hyperlink>
      <w:r>
        <w:t xml:space="preserve"> Nomura Securities, Princeton University, Sberbank (2012), Skagen Funds, Spinoza Foundation, Standish, Swiss Economic Forum, Swiss National Bank, UBS, University of Zurich, Villanova University, Vinci Partners, World Knowledge Forum</w:t>
      </w:r>
    </w:p>
    <w:p w14:paraId="673ADF9B" w14:textId="77777777" w:rsidR="0064556D" w:rsidRDefault="00000000">
      <w:pPr>
        <w:pStyle w:val="BodyText"/>
        <w:spacing w:before="6" w:line="550" w:lineRule="atLeast"/>
        <w:ind w:left="120" w:right="5414"/>
      </w:pPr>
      <w:r>
        <w:rPr>
          <w:u w:val="single"/>
        </w:rPr>
        <w:t>Advisory Boards (current)</w:t>
      </w:r>
      <w:r>
        <w:t xml:space="preserve"> </w:t>
      </w:r>
      <w:r>
        <w:rPr>
          <w:color w:val="0561C1"/>
          <w:u w:val="single" w:color="0561C1"/>
        </w:rPr>
        <w:lastRenderedPageBreak/>
        <w:t>Economic Innovation Group</w:t>
      </w:r>
    </w:p>
    <w:p w14:paraId="58A11E57" w14:textId="77777777" w:rsidR="0064556D" w:rsidRDefault="0064556D">
      <w:pPr>
        <w:spacing w:line="550" w:lineRule="atLeast"/>
        <w:sectPr w:rsidR="0064556D">
          <w:type w:val="continuous"/>
          <w:pgSz w:w="12240" w:h="15840"/>
          <w:pgMar w:top="1360" w:right="1540" w:bottom="0" w:left="1680" w:header="720" w:footer="720" w:gutter="0"/>
          <w:cols w:space="720"/>
        </w:sectPr>
      </w:pPr>
    </w:p>
    <w:p w14:paraId="3815D210" w14:textId="77777777" w:rsidR="0064556D" w:rsidRDefault="00000000">
      <w:pPr>
        <w:pStyle w:val="BodyText"/>
        <w:spacing w:before="79"/>
        <w:ind w:left="120"/>
      </w:pPr>
      <w:r>
        <w:rPr>
          <w:u w:val="single"/>
        </w:rPr>
        <w:lastRenderedPageBreak/>
        <w:t>Book Royalties</w:t>
      </w:r>
    </w:p>
    <w:p w14:paraId="38287D37" w14:textId="77777777" w:rsidR="0064556D" w:rsidRDefault="0064556D">
      <w:pPr>
        <w:pStyle w:val="BodyText"/>
        <w:spacing w:before="9"/>
        <w:rPr>
          <w:sz w:val="23"/>
        </w:rPr>
      </w:pPr>
    </w:p>
    <w:p w14:paraId="045872D0" w14:textId="77777777" w:rsidR="0064556D" w:rsidRDefault="00000000">
      <w:pPr>
        <w:pStyle w:val="BodyText"/>
        <w:ind w:left="120"/>
      </w:pPr>
      <w:r>
        <w:t>Princeton University Press, MIT Press, Elsevier Press</w:t>
      </w:r>
    </w:p>
    <w:p w14:paraId="50394225" w14:textId="77777777" w:rsidR="0064556D" w:rsidRDefault="0064556D">
      <w:pPr>
        <w:pStyle w:val="BodyText"/>
        <w:rPr>
          <w:sz w:val="26"/>
        </w:rPr>
      </w:pPr>
    </w:p>
    <w:p w14:paraId="3FAB6234" w14:textId="77777777" w:rsidR="0064556D" w:rsidRDefault="0064556D">
      <w:pPr>
        <w:pStyle w:val="BodyText"/>
        <w:rPr>
          <w:sz w:val="34"/>
        </w:rPr>
      </w:pPr>
    </w:p>
    <w:p w14:paraId="2CE339C9" w14:textId="77777777" w:rsidR="0064556D" w:rsidRDefault="00000000">
      <w:pPr>
        <w:pStyle w:val="BodyText"/>
        <w:ind w:left="120"/>
      </w:pPr>
      <w:r>
        <w:rPr>
          <w:u w:val="single"/>
        </w:rPr>
        <w:t>Reviewer</w:t>
      </w:r>
    </w:p>
    <w:p w14:paraId="242CA625" w14:textId="77777777" w:rsidR="0064556D" w:rsidRDefault="0064556D">
      <w:pPr>
        <w:pStyle w:val="BodyText"/>
        <w:spacing w:before="9"/>
        <w:rPr>
          <w:sz w:val="23"/>
        </w:rPr>
      </w:pPr>
    </w:p>
    <w:p w14:paraId="5FEE8FEA" w14:textId="77777777" w:rsidR="0064556D" w:rsidRDefault="00000000">
      <w:pPr>
        <w:pStyle w:val="BodyText"/>
        <w:spacing w:before="1" w:line="477" w:lineRule="auto"/>
        <w:ind w:left="120"/>
      </w:pPr>
      <w:r>
        <w:t>(2021) The World Bank. Outside reviewer for select draft chapters of the World Development Report 2022</w:t>
      </w:r>
    </w:p>
    <w:p w14:paraId="5E13DFDE" w14:textId="77777777" w:rsidR="0064556D" w:rsidRDefault="0064556D">
      <w:pPr>
        <w:pStyle w:val="BodyText"/>
        <w:spacing w:before="5"/>
      </w:pPr>
    </w:p>
    <w:p w14:paraId="3B803C03" w14:textId="77777777" w:rsidR="0064556D" w:rsidRDefault="00000000">
      <w:pPr>
        <w:pStyle w:val="BodyText"/>
        <w:ind w:left="120"/>
      </w:pPr>
      <w:r>
        <w:rPr>
          <w:u w:val="single"/>
        </w:rPr>
        <w:t>Op-ed Writing</w:t>
      </w:r>
    </w:p>
    <w:p w14:paraId="418B1C4D" w14:textId="77777777" w:rsidR="0064556D" w:rsidRDefault="00000000">
      <w:pPr>
        <w:spacing w:before="138" w:line="360" w:lineRule="auto"/>
        <w:ind w:left="120" w:right="1908"/>
        <w:rPr>
          <w:i/>
          <w:sz w:val="24"/>
        </w:rPr>
      </w:pPr>
      <w:r>
        <w:rPr>
          <w:sz w:val="24"/>
        </w:rPr>
        <w:t xml:space="preserve">Open Society Institute (monthly internationally syndicated column), </w:t>
      </w:r>
      <w:r>
        <w:rPr>
          <w:i/>
          <w:sz w:val="24"/>
        </w:rPr>
        <w:t>The Financial Times</w:t>
      </w:r>
      <w:r>
        <w:rPr>
          <w:sz w:val="24"/>
        </w:rPr>
        <w:t xml:space="preserve">, </w:t>
      </w:r>
      <w:r>
        <w:rPr>
          <w:i/>
          <w:sz w:val="24"/>
        </w:rPr>
        <w:t>The Wall Street Journal, New York Times</w:t>
      </w:r>
    </w:p>
    <w:sectPr w:rsidR="0064556D">
      <w:pgSz w:w="12240" w:h="15840"/>
      <w:pgMar w:top="1360" w:right="154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556D"/>
    <w:rsid w:val="001F4076"/>
    <w:rsid w:val="0064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572D3"/>
  <w15:docId w15:val="{6D9365A4-040D-4ED0-8AB9-13A01914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ig.org/leadership/economic-advisory-boa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394</Words>
  <Characters>2248</Characters>
  <Application>Microsoft Office Word</Application>
  <DocSecurity>0</DocSecurity>
  <Lines>18</Lines>
  <Paragraphs>5</Paragraphs>
  <ScaleCrop>false</ScaleCrop>
  <Company/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Kenneth Rogoff</dc:creator>
  <cp:lastModifiedBy>O'Neil, Michael J</cp:lastModifiedBy>
  <cp:revision>2</cp:revision>
  <dcterms:created xsi:type="dcterms:W3CDTF">2022-07-12T13:03:00Z</dcterms:created>
  <dcterms:modified xsi:type="dcterms:W3CDTF">2022-07-12T13:03:00Z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2022-07-12T00:00:00Z</vt:filetime>
  </property>
</Properties>
</file>